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8 vom 27. Februar 1992</w:t>
      </w:r>
    </w:p>
    <w:p>
      <w:r>
        <w:t>Bundesgericht (BGE), 1992-02-27, DE</w:t>
      </w:r>
    </w:p>
    <w:p>
      <w:r>
        <w:rPr>
          <w:b/>
        </w:rPr>
        <w:t xml:space="preserve">Quelle: </w:t>
      </w:r>
      <w:r>
        <w:t>https://mcp.opencaselaw.ch/entscheid/bge_118 IA 8</w:t>
      </w:r>
    </w:p>
    <w:p>
      <w:r>
        <w:t>FR: BGE 118 IA 8 du 27 février 1992</w:t>
      </w:r>
    </w:p>
    <w:p>
      <w:r>
        <w:t>IT: BGE 118 IA 8 del 27 febbraio 1992</w:t>
      </w:r>
    </w:p>
    <w:p>
      <w:pPr>
        <w:pStyle w:val="Heading2"/>
      </w:pPr>
      <w:r>
        <w:t>Regeste</w:t>
      </w:r>
    </w:p>
    <w:p>
      <w:r>
        <w:t>Regeste Art. 4 BV, Willkür, Rechtsgleichheit, überspitzter Formalismus; Fristwahrung bei der Bezahlung von Kostenvorschüssen, Sammelauftragsdienst der PTT. Nichteintretensentscheid einer kantonalen Behörde in einem Verfahren betreffend kantonale Steuern und direkte Bundessteuer. Die Rüge, kantonales Verfahrensrecht sei verfassungswidrig angewendet worden, ist mit staatsrechtlicher Beschwerde und (hinsichtlich der direkten Bundessteuer) mit Verwaltungsgerichtsbeschwerde zu erheben. Gleiche Kognition bei beiden Rechtsmitteln, aber unterschiedliche Begründungsanforderungen (E. 1). Auswirkungen der neuen bundesgerichtlichen Rechtsprechung zur Bezahlung des Kostenvorschusses per Sammelauftragsdienst (BGE 117 Ib 220) auf kantonale Verfahren? Eine kantonale Behörde verletzt nicht schon dadurch verfassungsmässige Rechte, dass sie kantonalrechtliche Fristwahrungsbestimmungen noch entsprechend der früheren bundesgerichtlichen Rechtsprechung zu Art. 32 OG auslegt (E. 2).</w:t>
      </w:r>
    </w:p>
    <w:p>
      <w:pPr>
        <w:pStyle w:val="Heading2"/>
      </w:pPr>
      <w:r>
        <w:t>Erwägungen</w:t>
      </w:r>
    </w:p>
    <w:p>
      <w:r>
        <w:rPr>
          <w:b/>
        </w:rPr>
        <w:t>E. 1</w:t>
      </w:r>
    </w:p>
    <w:p>
      <w:r>
        <w:t>a) Angefochten ist der Entscheid einer letzten kantonalen Behörde, die gestützt auf kantonales Recht auf eine Beschwerde nicht eingetreten ist, die sich gegen einen Entscheid richtete, der sowohl eine bundesrechtliche (direkte Bundessteuer) als auch eine kantonalrechtliche (Staats- und Gemeindesteuer) Materie beschlägt. Soweit der Nichteintretensentscheid die kantonalen Steuern betrifft, ist nur die staatsrechtliche Beschwerde wegen Verletzung verfassungsmässiger Rechte zulässig. Es stellt sich die Frage, ob der Nichteintretensentscheid insoweit mit Verwaltungsgerichtsbeschwerde anzufechten ist, als er die direkte Bundessteuer betrifft. b) Mit der Verwaltungsgerichtsbeschwerde kann der Beschwerdeführer die Verletzung von Bundesrecht einschliesslich Überschreitung oder Missbrauch des Ermessens rügen ( Art. 104 lit. a OG ). Nach ständiger Rechtsprechung des Bundesgerichts kann dabei auch die Rüge der Verletzung von Bundesverfassungsrecht erhoben werden, soweit diese eine Angelegenheit betrifft, die in die Sachzuständigkeit der eidgenössischen Verwaltungsrechtspflegeinstanz fällt ( BGE 111 Ib 202 E. 2 mit Hinweisen). Haben kantonale Instanzen Bundesverwaltungsrecht anzuwenden und ist in der Hauptsache die Verwaltungsgerichtsbeschwerde zulässig, so ist die Rüge, das kantonale Verfahrensrecht sei in Art. 4 BV verletzender Weise angewendet worden, ebenfalls mit Verwaltungsgerichtsbeschwerde geltend zu machen, und zwar selbst dann, wenn nicht gleichzeitig eine Verletzung von materiellem Bundesverwaltungsrecht behauptet wird, dessen Anwendung indessen übermässig erschwert oder gar vereitelt werden könnte (a.a.O.). Tritt eine kantonale Behörde auf ein Rechtsmittel allein gestützt auf kantonales Verfahrensrecht nicht ein, führt dies dazu, dass die korrekte Anwendung von Bundesrecht nicht überprüft wird, letztlich also die Durchsetzung von Bundesrecht vereitelt werden könnte. Im vorliegenden Fall ist daher der Nichteintretensentscheid mit Verwaltungsgerichtsbeschwerde anzufechten. Dies heisst jedoch nicht, dass die Anwendung von kantonalem Recht frei geprüft wird. Es ist nur zu prüfen, ob die kantonale Behörde das kantonale Recht in einer Bundesverfassungsrecht verletzenden Weise angewendet hat. Die Prüfungsbefugnis des Bundesgerichts geht daher nicht weiter als bei der staatsrechtlichen Beschwerde. BGE 118 Ia 8 S. 11 c) Der Unterschied zwischen den beiden Rechtsmitteln besteht darin, dass bei der staatsrechtlichen Beschwerde nur ausdrücklich erhobene und in einer den strengen Anforderungen von Art. 90 Abs. 1 lit. b OG genügenden Weise begründete Rügen geprüft werden, bei der Verwaltungsgerichtsbeschwerde dagegen die Bundesrechtskonformität des Entscheids von Amtes wegen und ohne Bindung an die Beschwerdebegründung zu prüfen ist. Im vorliegenden Fall werden alle mit der staatsrechtlichen Beschwerde erhobenen Rügen im wesentlichen in einer den Begründungsanforderungen von Art. 90 Abs. 1 lit. b OG genügenden Weise vorgetragen. Sie werden ausnahmslos auch mit der Verwaltungsgerichtsbeschwerde erhoben. Sodann sind die Sachverhaltsfeststellungen des Verwaltungsgerichts auch im Rahmen der Verwaltungsgerichtsbeschwerde jedenfalls nicht mit weiterer Kognition zu prüfen als in der staatsrechtlichen Beschwerde ( Art. 105 Abs. 2 OG ). Es rechtfertigt sich daher, die beiden Beschwerdeverfahren zu vereinigen und die gegen das gleiche Urteil gerichteten Beschwerden und die einzelnen Rügen zusammen zu behandeln. Einzig die Frage, ob die vom Verwaltungsgericht getroffene Auslegung des kantonalen Rechts hinsichtlich der Fristwahrung bei Bezahlung des Kostenvorschusses per Sammelauftragsdienst der PTT sich aus der Bundesverfassung ergebende Rechte des Beschwerdeführers verletzt, ist ausschliesslich im Rahmen der Verwaltungsgerichtsbeschwerde zu prüfen (E. 2), da in der staatsrechtlichen Beschwerde (wie in der Verwaltungsgerichtsbeschwerde) keine entsprechende ausdrückliche Rüge erhoben worden ist.</w:t>
      </w:r>
    </w:p>
    <w:p>
      <w:r>
        <w:rPr>
          <w:b/>
        </w:rPr>
        <w:t>E. 2</w:t>
      </w:r>
    </w:p>
    <w:p>
      <w:r>
        <w:t>a) Das Verwaltungsgericht hat die Bezahlung des Kostenvorschusses durch den Beschwerdeführer als verspätet bezeichnet, weil der durch die von diesem beauftragte Bank erstellte Datenträger mit dem fraglichen Zahlungsauftrag so spät bei der Verarbeitungsstelle der Postcheckdienste der Generaldirektion PTT in Bern eingetroffen sei, dass die Gutschrift nicht mehr am letzten Tag der Frist habe vorgenommen werden können; der Beschwerdeführer habe den ihm obliegenden Beweis nicht erbringen können, dass der Datenträger rechtzeitig zur Post gegeben worden sei. Es ging dabei von der Rechtsauffassung aus, dass bei Benützung des Sammelauftragsdienstes der PTT für die Bezahlung eines Kostenvorschusses die Zahlungsfrist nicht schon dann gewahrt ist, wenn als Fälligkeitsdatum für die Zahlung spätestens der letzte Tag der Frist eingesetzt und der Datenträger ebenfalls spätestens am letzten Tag der Frist zur Post gegeben worden ist. Es stützte sich dabei auf die damals und bis vor kurzem geltende Praxis des Bundesgerichts. BGE 118 Ia 8 S. 12 Das Bundesgericht hatte gestützt auf die Fristwahrungsregeln des Bundesgesetzes über die Organisation der Bundesrechtspflege (OG), die mit den entsprechenden Bestimmungen des luzernischen Gesetzes über die Verwaltungsrechtspflege vom 3. Juli 1972 (VRG) im wesentlichen übereinstimmen ( Art. 32 OG , §§ 33 und 34 VRG), festgestellt, dass bei Benützung des Sammelauftragsdienstes der PTT die Frist zur Bezahlung des Kostenvorschusses nur dann gewahrt ist, wenn als Fälligkeitsdatum spätestens der letzte Tag der Frist eingesetzt und der Datenträger so rechtzeitig der Post übergeben wird, dass die Gutschrift auf dem Empfängerkonto nach dem ordentlichen postalischen Gang spätestens am bezeichneten Tag noch erfolgen kann ( BGE 114 Ib 68 /9 E. 1 mit Hinweis). An einer Plenarsitzung aller Richter sämtlicher Abteilungen des Bundesgerichts sowie des Eidgenössischen Versicherungsgerichts vom 25. Juni 1991 wurde eine Änderung der bisherigen Rechtsprechung beschlossen. Danach genügt es, wenn einerseits spätestens der letzte Tag der vom Bundesgericht festgesetzten Frist als Fälligkeitsdatum eingesetzt ist und andererseits der Datenträger innert dieser Frist der Post übergeben wird. Es ist nicht mehr erforderlich, dass die Gutschrift auf dem Empfängerkonto noch innert der Zahlungsfrist erfolgen kann ( BGE 117 Ib 220 ). Hätte das Verwaltungsgericht für das kantonale Verfahren entsprechend dieser neuen, erst nach seinem Entscheid begründeten Rechtsprechung des Bundesgerichts zum Verfahren vor Bundesgericht entschieden, hätte es die Kostenvorschusszahlung als rechtzeitig erachtet. b) Massgeblicher Gesichtspunkt für die von einer Mehrheit des Gesamtbundesgerichts beschlossene Änderung der Rechtsprechung zu Art. 32 OG ist, im Sinne einer Vereinheitlichung und Gleichbehandlung sämtlicher Zahlungsarten vom Erfordernis abzusehen, dass die Gutschrift auf dem Konto der Gerichtskasse am letzten Tag der Frist erfolgt sein muss. Nach der früheren Praxis galt dieses Erfordernis einzig im Fall, wo eine Bank mit der Zahlung des Kostenvorschusses beauftragt wurde und den Sammelauftragsdienst der PTT benützte. Bei allen anderen Zahlungsarten (Bezahlung mit Einzahlungsschein, Zustellung eines Post- oder Bankchecks, Giromandat) genügte es, wenn der Kostenvorschuss am letzten Tag der Frist bei einer Poststelle einbezahlt oder die Sendung mit dem Überweisungsauftrag beziehungsweise dem Check am letzten Tag dieser Frist der Post übergeben wurde. Diese Praxis hatte zur Folge, dass bei einer häufig benützten Zahlungsart die Zahlungsfrist faktisch verkürzt wurde, weil die mit der Zahlung beauftragte Bank den BGE 118 Ia 8 S. 13 Datenträger mindestens zwei Tage vor Ablauf der Zahlungsfrist verschicken musste. Die Praxisänderung wird insgesamt den heutigen Zahlungsgepflogenheiten besser gerecht. Auch sie bietet Gewähr dafür, dass Missbräuche ausgeschlossen sind, sind doch sowohl für die Einsetzung des Fälligkeitsdatums als auch für die Postaufgabe Grenzen gesetzt. c) Die auf die frühere bundesgerichtliche Rechtsprechung gestützte Praxis des Kantons Luzern verstösst indessen nicht gegen verfassungsmässige Rechte. Vorerst fällt eine Verletzung des Willkürverbots ausser Betracht. Orientiert sich nämlich eine kantonale Behörde erklärtermassen gerade an der publizierten und noch geltenden Bundesgerichtspraxis, die auf der Auslegung einer bundesrechtlichen Norm beruht, kann ihr nicht vorgeworfen werden, ihr Entscheid sei unhaltbar und damit willkürlich. Das Rechtsgleichheitsgebot wäre nur verletzt, wenn sich für eine unterschiedliche Behandlung von Sammelauftragsdienst einerseits und der übrigen Zahlungsarten anderseits überhaupt keine sachlichen und vernünftigen Gründe anführen liessen. Wohl hat sich das Bundesgericht für eine Gleichbehandlung sämtlicher Zahlungsarten entschieden, was aber nicht heisst, dass die gegenteilige Lösung angesichts der unterschiedlichen Zahlungsabläufe mit dem Rechtsgleichheitsgebot unvereinbar wäre. Wird der Sammelauftragsdienst benützt, so wird der Datenträger durch die beauftragte Bank zuerst an eine Zentralstelle der Banken übermittelt. Diese gibt den Zahlungsauftrag zusammen mit anderen Aufträgen auf einen Datenträger ein, und sie hat anzugeben, wann die Zahlungen auszuführen sind. Der Datenträger wird an die Verarbeitungsstelle der PTT übermittelt. Erst zum Zeitpunkt, da diese den Datenträger bearbeitet, liegen den PTT die einzelnen Zahlungsaufträge als individuell erfasste und ausführbare Aufträge vor. Angesichts dieser einzig bei Benützung des Sammelauftragsdienstes herrschenden Besonderheit war es vertretbar, die Einsetzung eines richtigen Fälligkeitsdatums und die innert Frist erfolgte Übergabe des Datenträgers an die Post nicht genügen zu lassen, weil eine fristgerechte postalische Erfassung des Auftrags nicht nur wegen des Zustellungswegs, sondern schon technisch bedingt ausgeschlossen war. Dabei konnte eben das eingesetzte Fälligkeitsdatum, wenn es nach den postalischen Vorschriften im Zeitpunkt der Verarbeitung nicht mehr zu berücksichtigen (sondern auf das nächstfolgende Bearbeitungsdatum zu verschieben) war, gar nicht "richtig" sein. Die neue BGE 118 Ia 8 S. 14 Praxis nimmt im Interesse der Vereinfachung diese logische Unsauberkeit in Kauf. Das Rechtsgleichheitsgebot wurde aber durch die alte Praxis nicht verletzt. Ebensowenig war diese Lösung überspitzt formalistisch. Auch unter dem Gesichtspunkt des Vertrauensprinzips war die Praxis nicht zu beanstanden, nachdem sie publiziert und damit als bekannt vorauszusetzen war. d) Wenn das Verwaltungsgericht das kantonale Recht entsprechend der damals bekannten bundesgerichtlichen Rechtsprechung zu Art. 32 OG auslegte, so verstiess es damit nicht gegen verfassungsmässige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